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779A3" w:rsidRDefault="00EC4A9C" w14:paraId="527C10AB" w14:textId="3DE529F2">
      <w:r>
        <w:rPr>
          <w:noProof/>
        </w:rPr>
        <w:drawing>
          <wp:anchor distT="0" distB="0" distL="114300" distR="114300" simplePos="0" relativeHeight="251658240" behindDoc="1" locked="0" layoutInCell="1" allowOverlap="1" wp14:anchorId="1B870D05" wp14:editId="2C7FA5E3">
            <wp:simplePos x="0" y="0"/>
            <wp:positionH relativeFrom="margin">
              <wp:align>right</wp:align>
            </wp:positionH>
            <wp:positionV relativeFrom="paragraph">
              <wp:posOffset>-805543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9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80"/>
        <w:gridCol w:w="6090"/>
      </w:tblGrid>
      <w:tr w:rsidR="009779A3" w:rsidTr="64A968EE" w14:paraId="527C10AE" w14:textId="77777777">
        <w:tc>
          <w:tcPr>
            <w:tcW w:w="288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P="64A968EE" w:rsidRDefault="00AB415F" w14:paraId="527C10AC" w14:textId="06159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</w:rPr>
            </w:pPr>
            <w:r w:rsidRPr="64A968EE">
              <w:rPr>
                <w:b/>
                <w:bCs/>
                <w:color w:val="FFFFFF" w:themeColor="background1"/>
              </w:rPr>
              <w:t xml:space="preserve">Kwaliteitskaart </w:t>
            </w:r>
            <w:r w:rsidRPr="64A968EE" w:rsidR="00392EBD">
              <w:rPr>
                <w:b/>
                <w:bCs/>
                <w:color w:val="FFFFFF" w:themeColor="background1"/>
              </w:rPr>
              <w:t>O</w:t>
            </w:r>
            <w:r w:rsidRPr="64A968EE" w:rsidR="0D7CBDA1">
              <w:rPr>
                <w:b/>
                <w:bCs/>
                <w:color w:val="FFFFFF" w:themeColor="background1"/>
              </w:rPr>
              <w:t>P</w:t>
            </w:r>
            <w:r w:rsidR="00CE7192">
              <w:rPr>
                <w:b/>
                <w:bCs/>
                <w:color w:val="FFFFFF" w:themeColor="background1"/>
              </w:rPr>
              <w:t xml:space="preserve"> 4.03</w:t>
            </w:r>
          </w:p>
        </w:tc>
        <w:tc>
          <w:tcPr>
            <w:tcW w:w="609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7192" w:rsidR="009779A3" w:rsidP="64A968EE" w:rsidRDefault="00CE7192" w14:paraId="527C10AD" w14:textId="544A207F">
            <w:pPr>
              <w:widowControl w:val="0"/>
              <w:spacing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Verlof en verzuim</w:t>
            </w:r>
          </w:p>
        </w:tc>
      </w:tr>
      <w:tr w:rsidR="00392EBD" w:rsidTr="64A968EE" w14:paraId="23B59BB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BD" w:rsidRDefault="008626B0" w14:paraId="286FCAC0" w14:textId="32B46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Kwaliteitsaspect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EBD" w:rsidP="64A968EE" w:rsidRDefault="00CE7192" w14:paraId="63C1FA8B" w14:textId="5E0D2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OP4 Onderwijstijd</w:t>
            </w:r>
          </w:p>
        </w:tc>
      </w:tr>
      <w:tr w:rsidR="009779A3" w:rsidTr="64A968EE" w14:paraId="527C10B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0" w14:textId="4722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Beleid </w:t>
            </w:r>
            <w:r w:rsidR="00CE7192">
              <w:t>Verlof en verzuim</w:t>
            </w:r>
          </w:p>
        </w:tc>
      </w:tr>
      <w:tr w:rsidR="009779A3" w:rsidTr="64A968EE" w14:paraId="527C10B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Verantwoordelijke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E7192" w14:paraId="527C10B3" w14:textId="23C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</w:tr>
      <w:tr w:rsidR="009779A3" w:rsidTr="64A968EE" w14:paraId="527C10B7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E06524" w14:paraId="527C10B5" w14:textId="5DCD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Borging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CE7192" w14:paraId="527C10B6" w14:textId="1F426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Jaarlijks in augustus</w:t>
            </w:r>
          </w:p>
        </w:tc>
      </w:tr>
    </w:tbl>
    <w:p w:rsidR="009779A3" w:rsidRDefault="009779A3" w14:paraId="527C10B8" w14:textId="77777777"/>
    <w:p w:rsidRPr="008626B0" w:rsidR="009779A3" w:rsidRDefault="00AB415F" w14:paraId="527C10B9" w14:textId="77777777">
      <w:pPr>
        <w:rPr>
          <w:b/>
          <w:color w:val="0070C0"/>
        </w:rPr>
      </w:pPr>
      <w:r w:rsidRPr="008626B0">
        <w:rPr>
          <w:b/>
          <w:color w:val="0070C0"/>
        </w:rPr>
        <w:t>Doel:</w:t>
      </w:r>
    </w:p>
    <w:p w:rsidR="009779A3" w:rsidRDefault="000708E5" w14:paraId="527C10BA" w14:textId="19F01B2A">
      <w:r>
        <w:t xml:space="preserve">De school </w:t>
      </w:r>
      <w:r w:rsidR="002719D4">
        <w:t xml:space="preserve">houdt absentie goed in de gaten en </w:t>
      </w:r>
      <w:r w:rsidR="002E26CE">
        <w:t>neemt tijdig contact op met ouders en eventueel leerplichtambtenaar bij ongeoorloofd verzuim.</w:t>
      </w:r>
    </w:p>
    <w:p w:rsidR="002E26CE" w:rsidRDefault="002E26CE" w14:paraId="0B4B4D6A" w14:textId="7D28A9AE">
      <w:r>
        <w:t>Ouders weten hoe ze hun kind kunnen afmelden bij ziekte, doktersbezoek en weten hoe ze verlof kunnen aanvragen voor bijzondere omstandigheden.</w:t>
      </w:r>
    </w:p>
    <w:p w:rsidR="009779A3" w:rsidRDefault="009779A3" w14:paraId="527C10BB" w14:textId="77777777"/>
    <w:p w:rsidRPr="008626B0" w:rsidR="009779A3" w:rsidRDefault="00AB415F" w14:paraId="527C10BC" w14:textId="77777777">
      <w:pPr>
        <w:rPr>
          <w:color w:val="0070C0"/>
        </w:rPr>
      </w:pPr>
      <w:r w:rsidRPr="008626B0">
        <w:rPr>
          <w:b/>
          <w:color w:val="0070C0"/>
        </w:rPr>
        <w:t>Hoe:</w:t>
      </w:r>
    </w:p>
    <w:tbl>
      <w:tblPr>
        <w:tblW w:w="90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7185"/>
      </w:tblGrid>
      <w:tr w:rsidR="009779A3" w:rsidTr="3307DEEA" w14:paraId="527C10BF" w14:textId="77777777">
        <w:trPr>
          <w:tblHeader/>
        </w:trPr>
        <w:tc>
          <w:tcPr>
            <w:tcW w:w="181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Moment</w:t>
            </w:r>
          </w:p>
        </w:tc>
        <w:tc>
          <w:tcPr>
            <w:tcW w:w="718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Actie</w:t>
            </w:r>
          </w:p>
        </w:tc>
      </w:tr>
      <w:tr w:rsidR="009779A3" w:rsidTr="3307DEEA" w14:paraId="527C10C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D43F8E" w14:paraId="527C10C0" w14:textId="48B4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schooljaar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3F8E" w:rsidR="009779A3" w:rsidRDefault="00D43F8E" w14:paraId="527C10C1" w14:textId="7D94CD19" w14:noSpellErr="1">
            <w:pPr/>
            <w:r w:rsidR="00D43F8E">
              <w:rPr/>
              <w:t xml:space="preserve">In schoolbrede communicatie wordt gemeld hoe kinderen </w:t>
            </w:r>
            <w:commentRangeStart w:id="1469611836"/>
            <w:commentRangeStart w:id="1705691637"/>
            <w:r w:rsidR="00D43F8E">
              <w:rPr/>
              <w:t>afgemeld</w:t>
            </w:r>
            <w:commentRangeEnd w:id="1469611836"/>
            <w:r>
              <w:rPr>
                <w:rStyle w:val="CommentReference"/>
              </w:rPr>
              <w:commentReference w:id="1469611836"/>
            </w:r>
            <w:commentRangeEnd w:id="1705691637"/>
            <w:r>
              <w:rPr>
                <w:rStyle w:val="CommentReference"/>
              </w:rPr>
              <w:commentReference w:id="1705691637"/>
            </w:r>
            <w:r w:rsidR="00D43F8E">
              <w:rPr/>
              <w:t xml:space="preserve"> kunnen worden en op welke manier verlof kan worden aangevraagd. </w:t>
            </w:r>
          </w:p>
        </w:tc>
      </w:tr>
      <w:tr w:rsidR="009779A3" w:rsidTr="3307DEEA" w14:paraId="527C10C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D43F8E" w14:paraId="527C10C3" w14:textId="73AE1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 ziekte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3F8E" w:rsidR="009779A3" w:rsidRDefault="00D43F8E" w14:paraId="527C10C4" w14:textId="4427D418">
            <w:pPr>
              <w:rPr>
                <w:iCs/>
              </w:rPr>
            </w:pPr>
            <w:r>
              <w:rPr>
                <w:iCs/>
              </w:rPr>
              <w:t xml:space="preserve">Ouders stellen de leerkracht op de hoogte </w:t>
            </w:r>
            <w:r w:rsidR="004E51A3">
              <w:rPr>
                <w:iCs/>
              </w:rPr>
              <w:t>(liefst mondeling of telefonisch, eventueel via Parro). De leerkracht verwerkt de ziekte in Parnassys.</w:t>
            </w:r>
          </w:p>
        </w:tc>
      </w:tr>
      <w:tr w:rsidR="009779A3" w:rsidTr="3307DEEA" w14:paraId="527C10C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4E51A3" w14:paraId="527C10C6" w14:textId="24869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 bezoek dokter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4E51A3" w14:paraId="527C10C7" w14:textId="33C34C0E">
            <w:r>
              <w:rPr>
                <w:iCs/>
              </w:rPr>
              <w:t xml:space="preserve">Ouders stellen de leerkracht op de hoogte (liefst mondeling of telefonisch, eventueel via Parro). De leerkracht verwerkt de </w:t>
            </w:r>
            <w:r>
              <w:rPr>
                <w:iCs/>
              </w:rPr>
              <w:t>afwezigheid</w:t>
            </w:r>
            <w:r>
              <w:rPr>
                <w:iCs/>
              </w:rPr>
              <w:t xml:space="preserve"> in Parnassys.</w:t>
            </w:r>
          </w:p>
        </w:tc>
      </w:tr>
      <w:tr w:rsidR="004E51A3" w:rsidTr="3307DEEA" w14:paraId="36126DD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A3" w:rsidRDefault="004E51A3" w14:paraId="35C89FAE" w14:textId="54B49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 bijzonder verlof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A3" w:rsidRDefault="004E51A3" w14:paraId="6CA2A149" w14:textId="5536E4EE">
            <w:pPr>
              <w:rPr>
                <w:iCs/>
              </w:rPr>
            </w:pPr>
            <w:r>
              <w:rPr>
                <w:iCs/>
              </w:rPr>
              <w:t xml:space="preserve">Ouders kunnen bijzonder verlof aanvragen </w:t>
            </w:r>
            <w:r w:rsidR="001B0D60">
              <w:rPr>
                <w:iCs/>
              </w:rPr>
              <w:t xml:space="preserve">bij de directeur door middel van het Formulier verlofaanvraag (zie bijlage). Dit formulier ligt op het kantoor op school en is te vinden op de site van de school. </w:t>
            </w:r>
            <w:r w:rsidR="001B0D60">
              <w:rPr>
                <w:iCs/>
              </w:rPr>
              <w:br/>
            </w:r>
            <w:r w:rsidR="001B0D60">
              <w:rPr>
                <w:iCs/>
              </w:rPr>
              <w:t xml:space="preserve">Op dit formulier kunnen ze de </w:t>
            </w:r>
            <w:r w:rsidR="008D1C5E">
              <w:rPr>
                <w:iCs/>
              </w:rPr>
              <w:t xml:space="preserve">duur en reden van verlof doorgeven. De directeur weegt de reden en neemt een beslissing of verlof wordt verleend. </w:t>
            </w:r>
            <w:r w:rsidR="004B5395">
              <w:rPr>
                <w:iCs/>
              </w:rPr>
              <w:t xml:space="preserve">Het bijzonder verlof wordt </w:t>
            </w:r>
            <w:r w:rsidR="00C86FE2">
              <w:rPr>
                <w:iCs/>
              </w:rPr>
              <w:t>bijgehouden in een leerlingnotitie en gecommuniceerd met ouders en groepsleerkrachten</w:t>
            </w:r>
            <w:r w:rsidR="003F1CAC">
              <w:rPr>
                <w:iCs/>
              </w:rPr>
              <w:t>.</w:t>
            </w:r>
            <w:r w:rsidR="003F1CAC">
              <w:rPr>
                <w:iCs/>
              </w:rPr>
              <w:br/>
            </w:r>
            <w:r w:rsidR="003F1CAC">
              <w:rPr>
                <w:iCs/>
              </w:rPr>
              <w:t>De leerkracht verwerkt de afwezigheid in Parnassys.</w:t>
            </w:r>
          </w:p>
        </w:tc>
      </w:tr>
      <w:tr w:rsidR="00C86FE2" w:rsidTr="3307DEEA" w14:paraId="308C0EF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E2" w:rsidRDefault="00C86FE2" w14:paraId="71EEA452" w14:textId="7FCF3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 ongeoorloofd verlof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FE2" w:rsidRDefault="00181F66" w14:paraId="6B22C929" w14:textId="69BD5C4A">
            <w:pPr>
              <w:rPr>
                <w:iCs/>
              </w:rPr>
            </w:pPr>
            <w:r>
              <w:rPr>
                <w:iCs/>
              </w:rPr>
              <w:t>De directeur neemt contact op met ouders over ongeoorloofd verlof en maakt de afweging of dit doorgemeld moet worden aan de leerplichtambtenaar</w:t>
            </w:r>
            <w:r w:rsidR="0014124B">
              <w:rPr>
                <w:iCs/>
              </w:rPr>
              <w:t>.</w:t>
            </w:r>
            <w:r w:rsidR="00C25A01">
              <w:rPr>
                <w:iCs/>
              </w:rPr>
              <w:t xml:space="preserve"> Hiervoor wordt het verzuimprotocol van de Regio IJssel-Vecht als leidraad gebruikt</w:t>
            </w:r>
            <w:r w:rsidR="003F1CAC">
              <w:rPr>
                <w:iCs/>
              </w:rPr>
              <w:t xml:space="preserve">. </w:t>
            </w:r>
            <w:r w:rsidR="003F1CAC">
              <w:rPr>
                <w:iCs/>
              </w:rPr>
              <w:br/>
            </w:r>
            <w:r w:rsidR="003F1CAC">
              <w:rPr>
                <w:iCs/>
              </w:rPr>
              <w:t>De leerkracht verwerkt de afwezigheid in Parnassys.</w:t>
            </w:r>
          </w:p>
        </w:tc>
      </w:tr>
    </w:tbl>
    <w:p w:rsidR="009779A3" w:rsidRDefault="009779A3" w14:paraId="527C10C9" w14:textId="77777777"/>
    <w:p w:rsidR="00740BA9" w:rsidP="00284146" w:rsidRDefault="00740BA9" w14:paraId="68E084F3" w14:textId="77777777">
      <w:pPr>
        <w:rPr>
          <w:b/>
          <w:color w:val="0070C0"/>
          <w:lang w:val="nl-NL"/>
        </w:rPr>
      </w:pPr>
    </w:p>
    <w:p w:rsidR="00740BA9" w:rsidP="00284146" w:rsidRDefault="00740BA9" w14:paraId="678A665A" w14:textId="77777777">
      <w:pPr>
        <w:rPr>
          <w:b/>
          <w:color w:val="0070C0"/>
          <w:lang w:val="nl-NL"/>
        </w:rPr>
      </w:pPr>
    </w:p>
    <w:p w:rsidR="00740BA9" w:rsidP="00284146" w:rsidRDefault="00740BA9" w14:paraId="751D2C00" w14:textId="77777777">
      <w:pPr>
        <w:rPr>
          <w:b/>
          <w:color w:val="0070C0"/>
          <w:lang w:val="nl-NL"/>
        </w:rPr>
      </w:pPr>
    </w:p>
    <w:p w:rsidR="00284146" w:rsidP="00284146" w:rsidRDefault="00284146" w14:paraId="62CA8D59" w14:textId="43858A73">
      <w:pPr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t>Plan Do Check Act: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486"/>
        <w:gridCol w:w="904"/>
        <w:gridCol w:w="4629"/>
      </w:tblGrid>
      <w:tr w:rsidR="00284146" w:rsidTr="00284146" w14:paraId="5BA2C912" w14:textId="77777777">
        <w:tc>
          <w:tcPr>
            <w:tcW w:w="3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0F9D6EF2" w14:textId="78C04DEF">
            <w:pPr>
              <w:rPr>
                <w:bCs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643F130C" wp14:editId="5076CDC1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hideMark/>
          </w:tcPr>
          <w:p w:rsidR="00284146" w:rsidRDefault="00284146" w14:paraId="25B5E4B3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Stap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hideMark/>
          </w:tcPr>
          <w:p w:rsidR="00284146" w:rsidRDefault="00284146" w14:paraId="4E137600" w14:textId="77777777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Activiteiten</w:t>
            </w:r>
          </w:p>
        </w:tc>
      </w:tr>
      <w:tr w:rsidR="00284146" w:rsidTr="00284146" w14:paraId="49042787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0F08A709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59FCC289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Plan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740BA9" w14:paraId="6B056518" w14:textId="763E17C6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Bij de start van het schooljaar worden verlof- en verzuimregels gedeeld met ouders en besproken met de leerkrachten</w:t>
            </w:r>
            <w:r w:rsidR="00C31510">
              <w:rPr>
                <w:bCs/>
                <w:lang w:val="nl-NL"/>
              </w:rPr>
              <w:t>.</w:t>
            </w:r>
          </w:p>
        </w:tc>
      </w:tr>
      <w:tr w:rsidR="00284146" w:rsidTr="00284146" w14:paraId="77ABBE6E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3F6D4FC4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5F99F75B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Do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740BA9" w14:paraId="67B07600" w14:textId="472309C1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Ver</w:t>
            </w:r>
            <w:r w:rsidR="00C31510">
              <w:rPr>
                <w:bCs/>
                <w:lang w:val="nl-NL"/>
              </w:rPr>
              <w:t>lof en verzuim wordt geregistreerd.</w:t>
            </w:r>
          </w:p>
        </w:tc>
      </w:tr>
      <w:tr w:rsidR="00284146" w:rsidTr="00284146" w14:paraId="61719216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12B57966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56FF0636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Check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C31510" w14:paraId="140D6893" w14:textId="268AB124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Verlofaanvragen worden gewogen aan de </w:t>
            </w:r>
            <w:r w:rsidR="0050145C">
              <w:rPr>
                <w:bCs/>
                <w:lang w:val="nl-NL"/>
              </w:rPr>
              <w:t>leerplichtwet.</w:t>
            </w:r>
          </w:p>
        </w:tc>
      </w:tr>
      <w:tr w:rsidR="00284146" w:rsidTr="00284146" w14:paraId="4E9EBF64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84146" w:rsidRDefault="00284146" w14:paraId="5CFE4928" w14:textId="77777777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146" w:rsidRDefault="00284146" w14:paraId="22496457" w14:textId="77777777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Act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146" w:rsidRDefault="0050145C" w14:paraId="6E946976" w14:textId="143FCB82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Bij ongeoorloofd verzuim wordt contact opgenomen met ouders en waar nodig met de leerplichtambtenaar.</w:t>
            </w:r>
          </w:p>
        </w:tc>
      </w:tr>
    </w:tbl>
    <w:p w:rsidRPr="00284146" w:rsidR="009779A3" w:rsidRDefault="009779A3" w14:paraId="527C10CC" w14:textId="77777777">
      <w:pPr>
        <w:rPr>
          <w:b/>
          <w:color w:val="00BAE7"/>
          <w:lang w:val="nl-NL"/>
        </w:rPr>
      </w:pPr>
    </w:p>
    <w:p w:rsidRPr="008626B0" w:rsidR="009779A3" w:rsidRDefault="00AB415F" w14:paraId="527C10CD" w14:textId="77777777">
      <w:pPr>
        <w:rPr>
          <w:b/>
          <w:color w:val="0070C0"/>
        </w:rPr>
      </w:pPr>
      <w:r w:rsidRPr="008626B0">
        <w:rPr>
          <w:b/>
          <w:color w:val="0070C0"/>
        </w:rPr>
        <w:t>Betrokkenen:</w:t>
      </w:r>
    </w:p>
    <w:p w:rsidR="009779A3" w:rsidRDefault="0050145C" w14:paraId="527C10CE" w14:textId="6338D374">
      <w:r>
        <w:t>Leerkracht, Directeur</w:t>
      </w:r>
    </w:p>
    <w:tbl>
      <w:tblPr>
        <w:tblW w:w="90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05"/>
        <w:gridCol w:w="6495"/>
      </w:tblGrid>
      <w:tr w:rsidR="009779A3" w:rsidTr="008626B0" w14:paraId="527C10D1" w14:textId="77777777">
        <w:trPr>
          <w:tblHeader/>
        </w:trPr>
        <w:tc>
          <w:tcPr>
            <w:tcW w:w="250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CF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Betrokkene</w:t>
            </w:r>
          </w:p>
        </w:tc>
        <w:tc>
          <w:tcPr>
            <w:tcW w:w="649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AB415F" w14:paraId="527C10D0" w14:textId="77777777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Verantwoordelijkheden</w:t>
            </w:r>
          </w:p>
        </w:tc>
      </w:tr>
      <w:tr w:rsidR="009779A3" w14:paraId="527C10D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50145C" w14:paraId="527C10D2" w14:textId="30000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Leerkracht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50145C" w14:paraId="030929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Bijhouden verlof en verzuim in Parnassys.</w:t>
            </w:r>
          </w:p>
          <w:p w:rsidR="0050145C" w:rsidRDefault="0050145C" w14:paraId="527C10D3" w14:textId="1E4EB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 twijfel contact opnemen met directeur.</w:t>
            </w:r>
          </w:p>
        </w:tc>
      </w:tr>
      <w:tr w:rsidR="009779A3" w14:paraId="527C10D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9A3" w:rsidRDefault="0050145C" w14:paraId="527C10D5" w14:textId="4F929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45C" w:rsidRDefault="0050145C" w14:paraId="4CE0E6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 de start van het schooljaar communiceren over het beleid Verlof en verzuim.</w:t>
            </w:r>
          </w:p>
          <w:p w:rsidR="009779A3" w:rsidRDefault="0050145C" w14:paraId="11210E90" w14:textId="6EDA6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Verlofaanvragen wegen.</w:t>
            </w:r>
          </w:p>
          <w:p w:rsidR="0050145C" w:rsidRDefault="0050145C" w14:paraId="527C10D6" w14:textId="322E9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Bij ongeoorloofd verzuim contact opnemen met ouders en waar nodig met de leerplichtambtenaar.</w:t>
            </w:r>
          </w:p>
        </w:tc>
      </w:tr>
    </w:tbl>
    <w:p w:rsidR="009779A3" w:rsidRDefault="009779A3" w14:paraId="527C10DB" w14:textId="77777777"/>
    <w:p w:rsidRPr="008626B0" w:rsidR="009779A3" w:rsidRDefault="00AB415F" w14:paraId="527C10DC" w14:textId="77777777">
      <w:pPr>
        <w:rPr>
          <w:b/>
          <w:color w:val="0070C0"/>
        </w:rPr>
      </w:pPr>
      <w:r w:rsidRPr="008626B0">
        <w:rPr>
          <w:b/>
          <w:color w:val="0070C0"/>
        </w:rPr>
        <w:t>Bijlagen:</w:t>
      </w:r>
    </w:p>
    <w:p w:rsidR="009779A3" w:rsidRDefault="00961477" w14:paraId="527C10DE" w14:textId="4DCA3098">
      <w:hyperlink w:history="1" r:id="rId12">
        <w:r>
          <w:rPr>
            <w:rStyle w:val="Hyperlink"/>
          </w:rPr>
          <w:t>OP4.03 Bijlage Formulier verlofaanvraag.docx</w:t>
        </w:r>
      </w:hyperlink>
    </w:p>
    <w:p w:rsidR="00961477" w:rsidRDefault="006C69FE" w14:paraId="34B56C82" w14:textId="0D261DA4">
      <w:hyperlink w:history="1" r:id="rId13">
        <w:r w:rsidR="00831B6C">
          <w:rPr>
            <w:rStyle w:val="Hyperlink"/>
          </w:rPr>
          <w:t>OP4.03 Bijlage Verzuimprotocol regio IJssel-Vecht</w:t>
        </w:r>
      </w:hyperlink>
    </w:p>
    <w:p w:rsidR="009779A3" w:rsidRDefault="009779A3" w14:paraId="527C10E0" w14:textId="77777777"/>
    <w:sectPr w:rsidR="009779A3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S" w:author="Ellen Santbergen-Apperlo" w:date="2024-08-27T22:22:59" w:id="1469611836">
    <w:p w:rsidR="3307DEEA" w:rsidRDefault="3307DEEA" w14:paraId="1914D25B" w14:textId="498FD366">
      <w:pPr>
        <w:pStyle w:val="CommentText"/>
      </w:pPr>
      <w:r w:rsidR="3307DEEA">
        <w:rPr/>
        <w:t xml:space="preserve">Kan de optie in Parro aan dat de leerlingen afgemeld kunnen worden via Parro. Dat scheelt veel appjes op de ochtend. En je hebt het gelijk weggewerkt in Parnassys staan. </w:t>
      </w:r>
      <w:r>
        <w:rPr>
          <w:rStyle w:val="CommentReference"/>
        </w:rPr>
        <w:annotationRef/>
      </w:r>
    </w:p>
  </w:comment>
  <w:comment w:initials="GK" w:author="Geertje Kramer-Bergkamp" w:date="2024-08-28T21:22:29" w:id="1705691637">
    <w:p w:rsidR="3307DEEA" w:rsidRDefault="3307DEEA" w14:paraId="62CCE39F" w14:textId="4F9C01CC">
      <w:pPr>
        <w:pStyle w:val="CommentText"/>
      </w:pPr>
      <w:r w:rsidR="3307DEEA">
        <w:rPr/>
        <w:t xml:space="preserve">Graag.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914D25B"/>
  <w15:commentEx w15:done="0" w15:paraId="62CCE39F" w15:paraIdParent="1914D25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BAE46A" w16cex:dateUtc="2024-08-27T20:22:59.235Z"/>
  <w16cex:commentExtensible w16cex:durableId="48BDB89A" w16cex:dateUtc="2024-08-28T19:22:29.1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14D25B" w16cid:durableId="63BAE46A"/>
  <w16cid:commentId w16cid:paraId="62CCE39F" w16cid:durableId="48BDB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0A6" w:rsidP="00284146" w:rsidRDefault="00CB30A6" w14:paraId="26D71C59" w14:textId="77777777">
      <w:pPr>
        <w:spacing w:line="240" w:lineRule="auto"/>
      </w:pPr>
      <w:r>
        <w:separator/>
      </w:r>
    </w:p>
  </w:endnote>
  <w:endnote w:type="continuationSeparator" w:id="0">
    <w:p w:rsidR="00CB30A6" w:rsidP="00284146" w:rsidRDefault="00CB30A6" w14:paraId="04570E90" w14:textId="77777777">
      <w:pPr>
        <w:spacing w:line="240" w:lineRule="auto"/>
      </w:pPr>
      <w:r>
        <w:continuationSeparator/>
      </w:r>
    </w:p>
  </w:endnote>
  <w:endnote w:type="continuationNotice" w:id="1">
    <w:p w:rsidR="00CB30A6" w:rsidRDefault="00CB30A6" w14:paraId="2E4E8F3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0A6" w:rsidP="00284146" w:rsidRDefault="00CB30A6" w14:paraId="144D7927" w14:textId="77777777">
      <w:pPr>
        <w:spacing w:line="240" w:lineRule="auto"/>
      </w:pPr>
      <w:r>
        <w:separator/>
      </w:r>
    </w:p>
  </w:footnote>
  <w:footnote w:type="continuationSeparator" w:id="0">
    <w:p w:rsidR="00CB30A6" w:rsidP="00284146" w:rsidRDefault="00CB30A6" w14:paraId="1D0BBBD7" w14:textId="77777777">
      <w:pPr>
        <w:spacing w:line="240" w:lineRule="auto"/>
      </w:pPr>
      <w:r>
        <w:continuationSeparator/>
      </w:r>
    </w:p>
  </w:footnote>
  <w:footnote w:type="continuationNotice" w:id="1">
    <w:p w:rsidR="00CB30A6" w:rsidRDefault="00CB30A6" w14:paraId="20EEDF90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>
  <w15:person w15:author="Ellen Santbergen-Apperlo">
    <w15:presenceInfo w15:providerId="AD" w15:userId="S::ellen.santbergen@florion.nl::7969cdb5-34dc-46cb-b3a9-b6b3a4763d1a"/>
  </w15:person>
  <w15:person w15:author="Geertje Kramer-Bergkamp">
    <w15:presenceInfo w15:providerId="AD" w15:userId="S::geertje.kramer@florion.nl::1b3bd841-e6c9-4759-ab54-4967e5d54f0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A3"/>
    <w:rsid w:val="000708E5"/>
    <w:rsid w:val="0014124B"/>
    <w:rsid w:val="00181F66"/>
    <w:rsid w:val="001B0D60"/>
    <w:rsid w:val="002719D4"/>
    <w:rsid w:val="00284146"/>
    <w:rsid w:val="002E26CE"/>
    <w:rsid w:val="00346B21"/>
    <w:rsid w:val="00392EBD"/>
    <w:rsid w:val="003F1CAC"/>
    <w:rsid w:val="004501B0"/>
    <w:rsid w:val="004B5395"/>
    <w:rsid w:val="004C07F1"/>
    <w:rsid w:val="004E51A3"/>
    <w:rsid w:val="0050145C"/>
    <w:rsid w:val="005741FF"/>
    <w:rsid w:val="006C69FE"/>
    <w:rsid w:val="00701483"/>
    <w:rsid w:val="00740BA9"/>
    <w:rsid w:val="00795D3C"/>
    <w:rsid w:val="007D63E3"/>
    <w:rsid w:val="00831B6C"/>
    <w:rsid w:val="008626B0"/>
    <w:rsid w:val="008D1C5E"/>
    <w:rsid w:val="00961477"/>
    <w:rsid w:val="009779A3"/>
    <w:rsid w:val="00AB38AB"/>
    <w:rsid w:val="00AB415F"/>
    <w:rsid w:val="00B605B4"/>
    <w:rsid w:val="00C25A01"/>
    <w:rsid w:val="00C31510"/>
    <w:rsid w:val="00C86FE2"/>
    <w:rsid w:val="00CB30A6"/>
    <w:rsid w:val="00CE7192"/>
    <w:rsid w:val="00D43F8E"/>
    <w:rsid w:val="00E06524"/>
    <w:rsid w:val="00EC4A9C"/>
    <w:rsid w:val="00FA5B53"/>
    <w:rsid w:val="0B4D2F17"/>
    <w:rsid w:val="0D497792"/>
    <w:rsid w:val="0D7CBDA1"/>
    <w:rsid w:val="0E71E3B7"/>
    <w:rsid w:val="3307DEEA"/>
    <w:rsid w:val="3B732E31"/>
    <w:rsid w:val="64A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10AB"/>
  <w15:docId w15:val="{EA3DBE7D-3258-4A89-A276-9CE4DB5CA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4146"/>
    <w:pPr>
      <w:spacing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Normal" w:customStyle="1">
    <w:name w:val="Normal Table0"/>
    <w:rsid w:val="004C0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84146"/>
  </w:style>
  <w:style w:type="paragraph" w:styleId="Voettekst">
    <w:name w:val="footer"/>
    <w:basedOn w:val="Standaard"/>
    <w:link w:val="VoettekstChar"/>
    <w:uiPriority w:val="99"/>
    <w:unhideWhenUsed/>
    <w:rsid w:val="00284146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84146"/>
  </w:style>
  <w:style w:type="character" w:styleId="Hyperlink">
    <w:name w:val="Hyperlink"/>
    <w:basedOn w:val="Standaardalinea-lettertype"/>
    <w:uiPriority w:val="99"/>
    <w:unhideWhenUsed/>
    <w:rsid w:val="0096147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6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goon365.sharepoint.com/:b:/r/sites/msteams_dcc3c6/Gedeelde%20documenten/General/Beleid/Kwaliteitskaarten/OP%20Onderwijsproces/OP4%20Onderwijstijd/OP4.03%20Bijlage%20Verzuimprotocol%20regio%20IJssel-Vecht.pdf?csf=1&amp;web=1&amp;e=J5Yrft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goon365.sharepoint.com/:w:/r/sites/msteams_dcc3c6/Gedeelde%20documenten/General/Beleid/Kwaliteitskaarten/OP%20Onderwijsproces/OP4%20Onderwijstijd/OP4.03%20Bijlage%20Formulier%20verlofaanvraag.docx?d=wf251b840ae9a4226b9610f490d35334a&amp;csf=1&amp;web=1&amp;e=TgzIk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omments" Target="comments.xml" Id="Rd88bc1d218384bb9" /><Relationship Type="http://schemas.microsoft.com/office/2011/relationships/people" Target="people.xml" Id="Re682729c9a9842be" /><Relationship Type="http://schemas.microsoft.com/office/2011/relationships/commentsExtended" Target="commentsExtended.xml" Id="Re964130a81444525" /><Relationship Type="http://schemas.microsoft.com/office/2016/09/relationships/commentsIds" Target="commentsIds.xml" Id="R2c66affe8cdf4628" /><Relationship Type="http://schemas.microsoft.com/office/2018/08/relationships/commentsExtensible" Target="commentsExtensible.xml" Id="R1a72e5d7d93343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9" ma:contentTypeDescription="Een nieuw document maken." ma:contentTypeScope="" ma:versionID="452c31ede755c9b32ca3c081d674b22a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191ffe7ce8ac65adf11a48bcc7429fd5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/>
        <AccountId xsi:nil="true"/>
        <AccountType/>
      </UserInfo>
    </SharedWithUsers>
    <MediaLengthInSeconds xmlns="6b1e1df9-6321-4a07-845d-ce9b7ed0c5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44DDB-9F9E-4723-884D-7546DA7D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4A3DA-B5E1-4A0C-8748-323452C32364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customXml/itemProps3.xml><?xml version="1.0" encoding="utf-8"?>
<ds:datastoreItem xmlns:ds="http://schemas.openxmlformats.org/officeDocument/2006/customXml" ds:itemID="{7DD82137-5C2F-40EE-BE35-7E0D9E484F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Geertje Kramer-Bergkamp</lastModifiedBy>
  <revision>35</revision>
  <dcterms:created xsi:type="dcterms:W3CDTF">2023-08-28T09:41:00.0000000Z</dcterms:created>
  <dcterms:modified xsi:type="dcterms:W3CDTF">2024-08-28T19:22:37.8270433Z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Order">
    <vt:r8>1293100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dc9ecdac-5d18-47ef-9361-42e65346f43f_Enabled">
    <vt:lpwstr>true</vt:lpwstr>
  </property>
  <property fmtid="{D5CDD505-2E9C-101B-9397-08002B2CF9AE}" pid="12" name="MSIP_Label_dc9ecdac-5d18-47ef-9361-42e65346f43f_SetDate">
    <vt:lpwstr>2023-08-28T18:41:28Z</vt:lpwstr>
  </property>
  <property fmtid="{D5CDD505-2E9C-101B-9397-08002B2CF9AE}" pid="13" name="MSIP_Label_dc9ecdac-5d18-47ef-9361-42e65346f43f_Method">
    <vt:lpwstr>Standard</vt:lpwstr>
  </property>
  <property fmtid="{D5CDD505-2E9C-101B-9397-08002B2CF9AE}" pid="14" name="MSIP_Label_dc9ecdac-5d18-47ef-9361-42e65346f43f_Name">
    <vt:lpwstr>Openbaar</vt:lpwstr>
  </property>
  <property fmtid="{D5CDD505-2E9C-101B-9397-08002B2CF9AE}" pid="15" name="MSIP_Label_dc9ecdac-5d18-47ef-9361-42e65346f43f_SiteId">
    <vt:lpwstr>18ec64bf-4a70-436f-a90c-44b989b5a75a</vt:lpwstr>
  </property>
  <property fmtid="{D5CDD505-2E9C-101B-9397-08002B2CF9AE}" pid="16" name="MSIP_Label_dc9ecdac-5d18-47ef-9361-42e65346f43f_ActionId">
    <vt:lpwstr>eadf3b4e-63c3-4c29-92fd-aac018bbf7fe</vt:lpwstr>
  </property>
  <property fmtid="{D5CDD505-2E9C-101B-9397-08002B2CF9AE}" pid="17" name="MSIP_Label_dc9ecdac-5d18-47ef-9361-42e65346f43f_ContentBits">
    <vt:lpwstr>0</vt:lpwstr>
  </property>
</Properties>
</file>